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新乡医学院三全学院</w:t>
      </w:r>
    </w:p>
    <w:p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入党积极分子考察、选拔原则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为进一步规范入党积极分子培养、教育、考察工作，提高发展党员质量，根据《中国共产党发展党员工作细则（试行）》及有关规定，结合我校实际情况，入党积极分子学员的考察及选拔应遵循以下原则：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1.入党积极分子的考察及选拔，应坚持客观公正、实事求是的原则，做到公平公开公正，各党总支（直属党支部）做好量化测评和名单公示工作。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2.年满18周岁，自愿向党组织递交入党申请书，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党组织收到入党申请书后，应当在一个月内派人同入党申请人谈话，了解基本情况，</w:t>
      </w:r>
      <w:r>
        <w:rPr>
          <w:rFonts w:hint="eastAsia" w:ascii="仿宋" w:hAnsi="仿宋" w:eastAsia="仿宋" w:cs="华文仿宋"/>
          <w:sz w:val="32"/>
          <w:szCs w:val="32"/>
        </w:rPr>
        <w:t>对其追求政治进步的表现给予肯定并提出期望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党组织对入党申请人进行培养教育和考察后，采取团组织推优和党组织推荐的方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式产生人选，经过公示，由支委会或支部大会研究决定并报上级党委确定为入党积极分子。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3.作风正派，团结同学，诚实守信，自觉遵守国家法律、法规和学校的各项规章制度，在同学中有一定的威信，2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年下半年至今无任何处分、挂科现象。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4.在生活、学习、书院工作等方面表现较好，能积极参加书院、学院组织的各项活动，在学生中起模范带头作用。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5.学生会、班委成员和学生助理表现优秀者可适当优先考虑。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崇德书院</w:t>
      </w:r>
      <w:r>
        <w:rPr>
          <w:rFonts w:hint="eastAsia" w:ascii="方正小标宋简体" w:eastAsia="方正小标宋简体"/>
          <w:sz w:val="44"/>
          <w:szCs w:val="44"/>
        </w:rPr>
        <w:t>入党积极分子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选拔</w:t>
      </w:r>
      <w:r>
        <w:rPr>
          <w:rFonts w:hint="eastAsia" w:ascii="方正小标宋简体" w:eastAsia="方正小标宋简体"/>
          <w:sz w:val="44"/>
          <w:szCs w:val="44"/>
        </w:rPr>
        <w:t>量化评分标准</w:t>
      </w:r>
    </w:p>
    <w:tbl>
      <w:tblPr>
        <w:tblStyle w:val="5"/>
        <w:tblW w:w="222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53"/>
        <w:gridCol w:w="8080"/>
        <w:gridCol w:w="80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一级指标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二级指标（考察点）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评分标准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一、思想政治（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.参加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理论政策、时事政治、校纪校规等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学习情况；（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按时参加理论政策、时事政治、校纪校规等学习活动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每缺一次扣一分，扣完为止。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.入党申请书书写情况；（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1.书写规范，内容全面，联系自身实际，认识深刻，无错误（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5分）；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2.书写较规范，内容全面，认识深刻，有1-2处错误（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3.书写较规范，内容较全面，有3-4处错误（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4.书写不规范，错误较多（0-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分）。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.汇报思想情况（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1.定期向党组织汇报思想，按时递交思想汇报，结合自身实际，认识深刻，书写规范（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2.定期向党组织汇报思想，按时递交思想汇报，认识较深刻，书写规范（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3.按时递交思想汇报，认识较深刻，书写规范（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4.不能按时递交思想汇报，认识一般，书写不规范（0-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分）。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二、学习成绩（20分）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.考试课平均成绩（20分）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本项得分由考评对象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上学期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考试课平均成绩进行折合，折合公式为：本项得分=考试课平均成绩×20%。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三、工作能力（20分）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.学生综合测评：基本素质与行为规范、实践与创新能力。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根据《新乡医学院三全学院学生综合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素质评价办法（试行）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》的有关规定，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能力素养部分得分即为本项得分。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四、日常表现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日常表现情况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根据学生一年内配合班级工作情况、考勤情况、班级内群众基础、参加志愿服务活动、完成书院布置工作情况等方面综合考评给分。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0E21"/>
    <w:rsid w:val="288B60AD"/>
    <w:rsid w:val="7CA2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487</Characters>
  <Lines>0</Lines>
  <Paragraphs>0</Paragraphs>
  <TotalTime>1</TotalTime>
  <ScaleCrop>false</ScaleCrop>
  <LinksUpToDate>false</LinksUpToDate>
  <CharactersWithSpaces>488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2022-03-31T12:32:00Z</dcterms:created>
  <dc:creator>hp</dc:creator>
  <cp:lastModifiedBy>0</cp:lastModifiedBy>
  <dcterms:modified xsi:type="dcterms:W3CDTF">2022-03-31T13:14:19Z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8B204C9AFC314976B9DF71387B1226E9</vt:lpwstr>
  </property>
</Properties>
</file>